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CA6" w:rsidRPr="009F170C" w:rsidRDefault="00530CA6" w:rsidP="009F170C">
      <w:pPr>
        <w:bidi/>
        <w:jc w:val="both"/>
        <w:rPr>
          <w:rFonts w:cs="B Nazanin"/>
          <w:sz w:val="24"/>
          <w:szCs w:val="24"/>
        </w:rPr>
      </w:pPr>
      <w:r w:rsidRPr="00022444">
        <w:rPr>
          <w:rFonts w:cs="B Nazanin" w:hint="cs"/>
          <w:b/>
          <w:bCs/>
          <w:sz w:val="24"/>
          <w:szCs w:val="24"/>
          <w:rtl/>
        </w:rPr>
        <w:t>عنوان:</w:t>
      </w:r>
      <w:r w:rsidRPr="009F170C">
        <w:rPr>
          <w:rFonts w:cs="B Nazanin" w:hint="cs"/>
          <w:sz w:val="24"/>
          <w:szCs w:val="24"/>
          <w:rtl/>
        </w:rPr>
        <w:t xml:space="preserve"> :</w:t>
      </w:r>
      <w:r w:rsidRPr="009F170C">
        <w:rPr>
          <w:rFonts w:cs="B Nazanin"/>
          <w:sz w:val="24"/>
          <w:szCs w:val="24"/>
          <w:rtl/>
        </w:rPr>
        <w:t xml:space="preserve"> </w:t>
      </w:r>
      <w:r w:rsidRPr="009F170C">
        <w:rPr>
          <w:rFonts w:cs="B Nazanin"/>
          <w:sz w:val="24"/>
          <w:szCs w:val="24"/>
          <w:rtl/>
        </w:rPr>
        <w:br/>
        <w:t>بررسی خصوصیات فیزیکوشیمیایی پست بیوتیکهای جداشده از باکتریهای اسید الکتیک پروبیوتیکی و ارزیابی اثرات ضد میکربی آن همراه با عصاره بره موم بر علیه عوامل میکروبی مهم پوسیدگی دندان</w:t>
      </w:r>
    </w:p>
    <w:p w:rsidR="00530CA6" w:rsidRPr="00022444" w:rsidRDefault="00530CA6" w:rsidP="009F170C">
      <w:pPr>
        <w:bidi/>
        <w:jc w:val="both"/>
        <w:rPr>
          <w:rFonts w:cs="B Nazanin"/>
          <w:b/>
          <w:bCs/>
          <w:sz w:val="24"/>
          <w:szCs w:val="24"/>
          <w:rtl/>
        </w:rPr>
      </w:pPr>
      <w:r w:rsidRPr="00022444">
        <w:rPr>
          <w:rFonts w:cs="B Nazanin" w:hint="cs"/>
          <w:b/>
          <w:bCs/>
          <w:sz w:val="24"/>
          <w:szCs w:val="24"/>
          <w:rtl/>
        </w:rPr>
        <w:t>مقدمه:</w:t>
      </w:r>
    </w:p>
    <w:p w:rsidR="00C20ED8" w:rsidRPr="009F170C" w:rsidRDefault="00D83557" w:rsidP="009F170C">
      <w:pPr>
        <w:bidi/>
        <w:jc w:val="both"/>
        <w:rPr>
          <w:rFonts w:cs="B Nazanin"/>
          <w:sz w:val="24"/>
          <w:szCs w:val="24"/>
          <w:rtl/>
        </w:rPr>
      </w:pPr>
      <w:r w:rsidRPr="009F170C">
        <w:rPr>
          <w:rFonts w:cs="B Nazanin"/>
          <w:sz w:val="24"/>
          <w:szCs w:val="24"/>
          <w:rtl/>
        </w:rPr>
        <w:t xml:space="preserve">با </w:t>
      </w:r>
      <w:r w:rsidRPr="009F170C">
        <w:rPr>
          <w:rFonts w:cs="B Nazanin" w:hint="cs"/>
          <w:sz w:val="24"/>
          <w:szCs w:val="24"/>
          <w:rtl/>
        </w:rPr>
        <w:t xml:space="preserve">توجه به </w:t>
      </w:r>
      <w:r w:rsidRPr="009F170C">
        <w:rPr>
          <w:rFonts w:cs="B Nazanin"/>
          <w:sz w:val="24"/>
          <w:szCs w:val="24"/>
          <w:rtl/>
        </w:rPr>
        <w:t xml:space="preserve">افزایش مقاومت باکتریایی به آنتی بیوتیک ها برای حذف باکتری های پاتوژن حفره دهانی </w:t>
      </w:r>
      <w:r w:rsidRPr="009F170C">
        <w:rPr>
          <w:rFonts w:cs="B Nazanin" w:hint="cs"/>
          <w:sz w:val="24"/>
          <w:szCs w:val="24"/>
          <w:rtl/>
        </w:rPr>
        <w:t>و</w:t>
      </w:r>
      <w:r w:rsidRPr="009F170C">
        <w:rPr>
          <w:rFonts w:cs="B Nazanin"/>
          <w:sz w:val="24"/>
          <w:szCs w:val="24"/>
          <w:rtl/>
        </w:rPr>
        <w:t xml:space="preserve"> پتانسیل ب</w:t>
      </w:r>
      <w:r w:rsidRPr="009F170C">
        <w:rPr>
          <w:rFonts w:cs="B Nazanin" w:hint="cs"/>
          <w:sz w:val="24"/>
          <w:szCs w:val="24"/>
          <w:rtl/>
        </w:rPr>
        <w:t>الای</w:t>
      </w:r>
      <w:r w:rsidRPr="009F170C">
        <w:rPr>
          <w:rFonts w:cs="B Nazanin"/>
          <w:sz w:val="24"/>
          <w:szCs w:val="24"/>
          <w:rtl/>
        </w:rPr>
        <w:t xml:space="preserve"> درمانی </w:t>
      </w:r>
      <w:r w:rsidRPr="009F170C">
        <w:rPr>
          <w:rFonts w:cs="B Nazanin" w:hint="cs"/>
          <w:sz w:val="24"/>
          <w:szCs w:val="24"/>
          <w:rtl/>
        </w:rPr>
        <w:t xml:space="preserve">و اثر ضد میکروبی بره موم، پروژه ای با هدف </w:t>
      </w:r>
      <w:r w:rsidR="00CE32EE" w:rsidRPr="009F170C">
        <w:rPr>
          <w:rFonts w:cs="B Nazanin" w:hint="cs"/>
          <w:sz w:val="24"/>
          <w:szCs w:val="24"/>
          <w:rtl/>
        </w:rPr>
        <w:t>بررسی ترکیبات کلیدی عملکردی و اثر ضد</w:t>
      </w:r>
      <w:r w:rsidR="005C5759" w:rsidRPr="009F170C">
        <w:rPr>
          <w:rFonts w:cs="B Nazanin" w:hint="cs"/>
          <w:sz w:val="24"/>
          <w:szCs w:val="24"/>
          <w:rtl/>
        </w:rPr>
        <w:t xml:space="preserve"> </w:t>
      </w:r>
      <w:r w:rsidR="00CE32EE" w:rsidRPr="009F170C">
        <w:rPr>
          <w:rFonts w:cs="B Nazanin" w:hint="cs"/>
          <w:sz w:val="24"/>
          <w:szCs w:val="24"/>
          <w:rtl/>
        </w:rPr>
        <w:t>میکروبی چهار نمونه بره موم ایرانی در برابر عوامل بیماری‌زای پوسیدگی دندان، یعنی استرپتوکوک موتانس و کاندیدا آلبیکنس بود.</w:t>
      </w:r>
      <w:r w:rsidR="002F2078" w:rsidRPr="009F170C">
        <w:rPr>
          <w:rFonts w:cs="B Nazanin"/>
          <w:sz w:val="24"/>
          <w:szCs w:val="24"/>
          <w:rtl/>
        </w:rPr>
        <w:t xml:space="preserve"> در این پروژه فرض بر این است که می توان از پست بیوتیکهای اسید الکتیک به عنوان یک ماده ضد میکروبی و ضد بیوفیلم برای پیشگیری یا درمان بیماریهای مرتبط با دهان و دندان استفاده کرد. بنابراین هدف از این مطالعه معرفی حداقل یک پست بیوتیک و عصاره بره موم منتخب موثر بر روی عوامل میکربی مولد پوسیدگی دندان است که فاقد خاصیت سمی علیه سلول های انسانی باشد. استفاده از پتانسیل درمانی پست بیوتیکها در پیشگیری و درمان بیماریهای مرتبط با دهان و دندان میتواند به عنوان یک رویکرد جدید درمانی</w:t>
      </w:r>
      <w:r w:rsidR="002F2078" w:rsidRPr="009F170C">
        <w:rPr>
          <w:rFonts w:cs="B Nazanin" w:hint="cs"/>
          <w:sz w:val="24"/>
          <w:szCs w:val="24"/>
          <w:rtl/>
        </w:rPr>
        <w:t xml:space="preserve"> باشد .درنهایت </w:t>
      </w:r>
      <w:r w:rsidR="00C20ED8" w:rsidRPr="009F170C">
        <w:rPr>
          <w:rFonts w:cs="B Nazanin" w:hint="cs"/>
          <w:sz w:val="24"/>
          <w:szCs w:val="24"/>
          <w:rtl/>
        </w:rPr>
        <w:t>طرح مذکور به ای</w:t>
      </w:r>
      <w:r w:rsidR="00CE32EE" w:rsidRPr="009F170C">
        <w:rPr>
          <w:rFonts w:cs="B Nazanin" w:hint="cs"/>
          <w:sz w:val="24"/>
          <w:szCs w:val="24"/>
          <w:rtl/>
        </w:rPr>
        <w:t>ن</w:t>
      </w:r>
      <w:r w:rsidR="00C20ED8" w:rsidRPr="009F170C">
        <w:rPr>
          <w:rFonts w:cs="B Nazanin" w:hint="cs"/>
          <w:sz w:val="24"/>
          <w:szCs w:val="24"/>
          <w:rtl/>
        </w:rPr>
        <w:t xml:space="preserve"> نتیجه رسید:</w:t>
      </w:r>
      <w:r w:rsidR="00CE32EE" w:rsidRPr="009F170C">
        <w:rPr>
          <w:rFonts w:cs="B Nazanin" w:hint="cs"/>
          <w:sz w:val="24"/>
          <w:szCs w:val="24"/>
          <w:rtl/>
        </w:rPr>
        <w:t xml:space="preserve">عصاره‌های بره موم ایرانی دارای فعالیت‌های ضدباکتریایی و ضدقارچی قابل توجهی در برابر پاتوژن‌های دهانی هستند که آنها را به کاندیداهای بالقوه‌ای برای استفاده در دندانپزشکی جهت بهبود سلامت دهان و دندان تبدیل می‌کند. بنابراین با توجه به نتایج اثر بخش طرح استفاده از بره موم درخمیر دندان و دهانشویه ها و سایر محصولات بهداشتی دهان </w:t>
      </w:r>
      <w:r w:rsidR="002F2078" w:rsidRPr="009F170C">
        <w:rPr>
          <w:rFonts w:cs="B Nazanin" w:hint="cs"/>
          <w:sz w:val="24"/>
          <w:szCs w:val="24"/>
          <w:rtl/>
        </w:rPr>
        <w:t>می توان از آن استفاده کرد</w:t>
      </w:r>
      <w:r w:rsidR="00B24135" w:rsidRPr="009F170C">
        <w:rPr>
          <w:rFonts w:cs="B Nazanin" w:hint="cs"/>
          <w:sz w:val="24"/>
          <w:szCs w:val="24"/>
          <w:rtl/>
        </w:rPr>
        <w:t>و با توجه به شواهد میدانی متوجه تاثیرمثبت و روند کاهشی ابتلا به عفونت های دهان و دندان شدیم.</w:t>
      </w:r>
      <w:r w:rsidR="00CE32EE" w:rsidRPr="009F170C">
        <w:rPr>
          <w:rFonts w:cs="B Nazanin" w:hint="cs"/>
          <w:sz w:val="24"/>
          <w:szCs w:val="24"/>
          <w:rtl/>
        </w:rPr>
        <w:t xml:space="preserve"> </w:t>
      </w:r>
    </w:p>
    <w:p w:rsidR="00530CA6" w:rsidRPr="00022444" w:rsidRDefault="00530CA6" w:rsidP="009F170C">
      <w:pPr>
        <w:bidi/>
        <w:jc w:val="both"/>
        <w:rPr>
          <w:rFonts w:cs="B Nazanin"/>
          <w:b/>
          <w:bCs/>
          <w:sz w:val="24"/>
          <w:szCs w:val="24"/>
          <w:rtl/>
        </w:rPr>
      </w:pPr>
      <w:r w:rsidRPr="00022444">
        <w:rPr>
          <w:rFonts w:cs="B Nazanin" w:hint="cs"/>
          <w:b/>
          <w:bCs/>
          <w:sz w:val="24"/>
          <w:szCs w:val="24"/>
          <w:rtl/>
        </w:rPr>
        <w:t>چکیده:</w:t>
      </w:r>
    </w:p>
    <w:p w:rsidR="00530CA6" w:rsidRPr="009F170C" w:rsidRDefault="00530CA6" w:rsidP="009F170C">
      <w:pPr>
        <w:bidi/>
        <w:jc w:val="both"/>
        <w:rPr>
          <w:rFonts w:cs="B Nazanin" w:hint="cs"/>
          <w:sz w:val="24"/>
          <w:szCs w:val="24"/>
          <w:rtl/>
        </w:rPr>
      </w:pPr>
      <w:r w:rsidRPr="009F170C">
        <w:rPr>
          <w:rFonts w:cs="B Nazanin"/>
          <w:sz w:val="24"/>
          <w:szCs w:val="24"/>
          <w:rtl/>
        </w:rPr>
        <w:t>اگرچه مدتهاست که کاربرد درمانی پروبیوتیکها شناخته شده، ولی جزییات سازوکار آنها همچنان مبهم است. شواهد فزاینده اخیر این ایده را تایید میکند که برخی از اجزای مشتق شده از پروبیوتیکها مانند باکتریوسینها، پروتئینهای ترشحی و اسیدهای لیپوتایکوئیک و غیره نقش محافظتی مشابهای در حفظ هوموستازی روده و اختالالت گوارشی دیگر دارند که به این اجزای زیست فعال "پست بیوتیک" میگویند )2019</w:t>
      </w:r>
      <w:r w:rsidRPr="009F170C">
        <w:rPr>
          <w:rFonts w:cs="B Nazanin"/>
          <w:sz w:val="24"/>
          <w:szCs w:val="24"/>
        </w:rPr>
        <w:t xml:space="preserve">., al et </w:t>
      </w:r>
      <w:proofErr w:type="gramStart"/>
      <w:r w:rsidRPr="009F170C">
        <w:rPr>
          <w:rFonts w:cs="B Nazanin"/>
          <w:sz w:val="24"/>
          <w:szCs w:val="24"/>
        </w:rPr>
        <w:t>Gao .)</w:t>
      </w:r>
      <w:r w:rsidRPr="009F170C">
        <w:rPr>
          <w:rFonts w:cs="B Nazanin"/>
          <w:sz w:val="24"/>
          <w:szCs w:val="24"/>
          <w:rtl/>
        </w:rPr>
        <w:t>به</w:t>
      </w:r>
      <w:proofErr w:type="gramEnd"/>
      <w:r w:rsidRPr="009F170C">
        <w:rPr>
          <w:rFonts w:cs="B Nazanin"/>
          <w:sz w:val="24"/>
          <w:szCs w:val="24"/>
          <w:rtl/>
        </w:rPr>
        <w:t xml:space="preserve"> عبارت دیگر، پست بیوتیکها به فاکتورهای حاصل از فعالیت متابولیک پروبیوتیکها یا هر مولکول ترشحی که بتواند به صورت مستقیم یا غیرمستقیم تأثیرات مفیدی بر روی میزبان بگذارد گفته میشود. در واقع پست بیوتیکها متابولیتهای باکتریهای پروبیوتیک یا سوپرناتانت بدون سلول آنها هستند که از باکتری زنده یا پس از لیز آن ترشح میشود. پست بیوتیکها شامل: اسیدهای چرب کوتاه زنجیره، آنزیمها، تیکوئیک اسید، موروپپتیدهای مشتق شده از پپتیدوگلیکان، اندو و اگزو پلیساکارید، پروتئینهای سطح سلول/ پپتیدهای ترشحی، بیوسورفکتانتهای ترشحی، اسیدهای آمینه، ویتامینها، باکتریوسینها، پپتیدهای ضدمیکروبی، اسیدهای آلی و غیره هستند )2020</w:t>
      </w:r>
      <w:r w:rsidRPr="009F170C">
        <w:rPr>
          <w:rFonts w:cs="B Nazanin"/>
          <w:sz w:val="24"/>
          <w:szCs w:val="24"/>
        </w:rPr>
        <w:t xml:space="preserve">, Yadav, &amp; </w:t>
      </w:r>
      <w:proofErr w:type="spellStart"/>
      <w:r w:rsidRPr="009F170C">
        <w:rPr>
          <w:rFonts w:cs="B Nazanin"/>
          <w:sz w:val="24"/>
          <w:szCs w:val="24"/>
        </w:rPr>
        <w:t>Beh</w:t>
      </w:r>
      <w:proofErr w:type="spellEnd"/>
    </w:p>
    <w:p w:rsidR="009F170C" w:rsidRPr="00022444" w:rsidRDefault="009F170C" w:rsidP="00022444">
      <w:pPr>
        <w:bidi/>
        <w:jc w:val="both"/>
        <w:rPr>
          <w:rFonts w:cs="B Nazanin" w:hint="cs"/>
          <w:b/>
          <w:bCs/>
          <w:sz w:val="24"/>
          <w:szCs w:val="24"/>
          <w:rtl/>
        </w:rPr>
      </w:pPr>
      <w:r w:rsidRPr="00022444">
        <w:rPr>
          <w:rFonts w:cs="B Nazanin" w:hint="cs"/>
          <w:b/>
          <w:bCs/>
          <w:sz w:val="24"/>
          <w:szCs w:val="24"/>
          <w:rtl/>
        </w:rPr>
        <w:t xml:space="preserve">شرح ،تحلیل و راه حل : </w:t>
      </w:r>
    </w:p>
    <w:p w:rsidR="009F170C" w:rsidRPr="009F170C" w:rsidRDefault="009F170C" w:rsidP="009F170C">
      <w:pPr>
        <w:bidi/>
        <w:jc w:val="both"/>
        <w:rPr>
          <w:rFonts w:cs="B Nazanin"/>
          <w:sz w:val="24"/>
          <w:szCs w:val="24"/>
          <w:rtl/>
        </w:rPr>
      </w:pPr>
      <w:r w:rsidRPr="009F170C">
        <w:rPr>
          <w:rFonts w:cs="B Nazanin"/>
          <w:sz w:val="24"/>
          <w:szCs w:val="24"/>
          <w:rtl/>
        </w:rPr>
        <w:t>محققان گزارش کرده</w:t>
      </w:r>
      <w:r w:rsidRPr="009F170C">
        <w:rPr>
          <w:rFonts w:cs="B Nazanin" w:hint="cs"/>
          <w:sz w:val="24"/>
          <w:szCs w:val="24"/>
          <w:rtl/>
        </w:rPr>
        <w:t xml:space="preserve"> </w:t>
      </w:r>
      <w:r w:rsidRPr="009F170C">
        <w:rPr>
          <w:rFonts w:cs="B Nazanin"/>
          <w:sz w:val="24"/>
          <w:szCs w:val="24"/>
          <w:rtl/>
        </w:rPr>
        <w:t>اند که باکتری های پروبیوتیک و پست بیوتیک حاصل از آنها ممکن است کاربردهای بالینی موثر برای درمان عفونتهای باکتریایی از جمله عفونتهای مرتبط با دهان و دندان داشته باشد )2015</w:t>
      </w:r>
      <w:r w:rsidRPr="009F170C">
        <w:rPr>
          <w:rFonts w:cs="B Nazanin"/>
          <w:sz w:val="24"/>
          <w:szCs w:val="24"/>
        </w:rPr>
        <w:t xml:space="preserve">., al et </w:t>
      </w:r>
      <w:proofErr w:type="gramStart"/>
      <w:r w:rsidRPr="009F170C">
        <w:rPr>
          <w:rFonts w:cs="B Nazanin"/>
          <w:sz w:val="24"/>
          <w:szCs w:val="24"/>
        </w:rPr>
        <w:t>Shin .</w:t>
      </w:r>
      <w:proofErr w:type="gramEnd"/>
      <w:r w:rsidRPr="009F170C">
        <w:rPr>
          <w:rFonts w:cs="B Nazanin"/>
          <w:sz w:val="24"/>
          <w:szCs w:val="24"/>
        </w:rPr>
        <w:t xml:space="preserve">) </w:t>
      </w:r>
      <w:r w:rsidRPr="009F170C">
        <w:rPr>
          <w:rFonts w:cs="B Nazanin"/>
          <w:sz w:val="24"/>
          <w:szCs w:val="24"/>
          <w:rtl/>
        </w:rPr>
        <w:t xml:space="preserve">استرپتوکوک های دهانی بویژه استرپتوکوک موتانس از عوامل موثر در ایجاد پوسیدگی دندان و بیماریهای پریودنتال شناخته شده. با افزایش مقاومت باکتریایی به آنتی بیوتیک ها برای حذف باکتری های پاتوژن حفره دهانی یک روش جدید از جمله استفاده از پروبیوتیک ها به همراه عصاره بره موم میتواند مورد بررسی قرار گیرد. با توجه به پتانسیل باالی درمانی پست بیوتیک ها ، در این پروژه فرض بر این است که می توان </w:t>
      </w:r>
      <w:r w:rsidRPr="009F170C">
        <w:rPr>
          <w:rFonts w:cs="B Nazanin"/>
          <w:sz w:val="24"/>
          <w:szCs w:val="24"/>
          <w:rtl/>
        </w:rPr>
        <w:lastRenderedPageBreak/>
        <w:t xml:space="preserve">از پست بیوتیکهای اسید الکتیک به عنوان یک ماده ضد میکروبی و ضد بیوفیلم برای پیشگیری یا درمان بیماریهای مرتبط با دهان و دندان استفاده کرد. بنابراین هدف از این مطالعه معرفی حداقل یک پست بیوتیک و عصاره بره موم منتخب موثر بر روی عوامل میکربی مولد پوسیدگی دندان است که فاقد خاصیت سمی علیه سلول های انسانی باشد. </w:t>
      </w:r>
    </w:p>
    <w:p w:rsidR="009F170C" w:rsidRPr="00022444" w:rsidRDefault="009F170C" w:rsidP="009F170C">
      <w:pPr>
        <w:bidi/>
        <w:jc w:val="both"/>
        <w:rPr>
          <w:rFonts w:cs="B Nazanin"/>
          <w:b/>
          <w:bCs/>
          <w:sz w:val="24"/>
          <w:szCs w:val="24"/>
          <w:rtl/>
        </w:rPr>
      </w:pPr>
      <w:r w:rsidRPr="00022444">
        <w:rPr>
          <w:rFonts w:cs="B Nazanin" w:hint="cs"/>
          <w:b/>
          <w:bCs/>
          <w:sz w:val="24"/>
          <w:szCs w:val="24"/>
          <w:rtl/>
        </w:rPr>
        <w:t>توصیه ها:</w:t>
      </w:r>
    </w:p>
    <w:p w:rsidR="009F170C" w:rsidRDefault="009F170C" w:rsidP="009F170C">
      <w:pPr>
        <w:bidi/>
        <w:jc w:val="both"/>
        <w:rPr>
          <w:rFonts w:cs="B Nazanin"/>
          <w:sz w:val="24"/>
          <w:szCs w:val="24"/>
          <w:rtl/>
        </w:rPr>
      </w:pPr>
      <w:r w:rsidRPr="009F170C">
        <w:rPr>
          <w:rFonts w:cs="B Nazanin"/>
          <w:sz w:val="24"/>
          <w:szCs w:val="24"/>
          <w:rtl/>
        </w:rPr>
        <w:t>استفاده از پتانسیل درمانی پست بیوتیکها در پیشگیری و درمان بیماریهای مرتبط با دهان و دندان میتواند به عنوان یک رویکرد جدید درمانی برای کاهش هزینه</w:t>
      </w:r>
      <w:r w:rsidR="00022444">
        <w:rPr>
          <w:rFonts w:cs="B Nazanin" w:hint="cs"/>
          <w:sz w:val="24"/>
          <w:szCs w:val="24"/>
          <w:rtl/>
        </w:rPr>
        <w:t xml:space="preserve"> </w:t>
      </w:r>
      <w:r w:rsidRPr="009F170C">
        <w:rPr>
          <w:rFonts w:cs="B Nazanin"/>
          <w:sz w:val="24"/>
          <w:szCs w:val="24"/>
          <w:rtl/>
        </w:rPr>
        <w:t>های درمانی بخش دندانپزشکی در هر جامعه لحاظ گردد</w:t>
      </w:r>
      <w:r w:rsidRPr="009F170C">
        <w:rPr>
          <w:rFonts w:cs="B Nazanin"/>
          <w:sz w:val="24"/>
          <w:szCs w:val="24"/>
        </w:rPr>
        <w:t>.</w:t>
      </w:r>
    </w:p>
    <w:p w:rsidR="00022444" w:rsidRDefault="00022444" w:rsidP="00022444">
      <w:pPr>
        <w:bidi/>
        <w:jc w:val="both"/>
        <w:rPr>
          <w:rFonts w:cs="B Nazanin"/>
          <w:b/>
          <w:bCs/>
          <w:sz w:val="24"/>
          <w:szCs w:val="24"/>
          <w:rtl/>
        </w:rPr>
      </w:pPr>
      <w:r w:rsidRPr="00022444">
        <w:rPr>
          <w:rFonts w:cs="B Nazanin" w:hint="cs"/>
          <w:b/>
          <w:bCs/>
          <w:sz w:val="24"/>
          <w:szCs w:val="24"/>
          <w:rtl/>
        </w:rPr>
        <w:t>نتیجه :</w:t>
      </w:r>
    </w:p>
    <w:p w:rsidR="00022444" w:rsidRPr="009F170C" w:rsidRDefault="00022444" w:rsidP="00022444">
      <w:pPr>
        <w:bidi/>
        <w:jc w:val="both"/>
        <w:rPr>
          <w:rFonts w:cs="B Nazanin"/>
          <w:sz w:val="24"/>
          <w:szCs w:val="24"/>
          <w:rtl/>
        </w:rPr>
      </w:pPr>
      <w:r w:rsidRPr="009F170C">
        <w:rPr>
          <w:rFonts w:cs="B Nazanin" w:hint="cs"/>
          <w:sz w:val="24"/>
          <w:szCs w:val="24"/>
          <w:rtl/>
        </w:rPr>
        <w:t>درنهایت طرح مذکور به این نتیجه رسید:</w:t>
      </w:r>
      <w:r>
        <w:rPr>
          <w:rFonts w:cs="B Nazanin" w:hint="cs"/>
          <w:sz w:val="24"/>
          <w:szCs w:val="24"/>
          <w:rtl/>
        </w:rPr>
        <w:t xml:space="preserve"> </w:t>
      </w:r>
      <w:r w:rsidRPr="009F170C">
        <w:rPr>
          <w:rFonts w:cs="B Nazanin" w:hint="cs"/>
          <w:sz w:val="24"/>
          <w:szCs w:val="24"/>
          <w:rtl/>
        </w:rPr>
        <w:t xml:space="preserve">عصاره‌های بره موم ایرانی دارای فعالیت‌های ضدباکتریایی و ضدقارچی قابل توجهی </w:t>
      </w:r>
      <w:r>
        <w:rPr>
          <w:rFonts w:cs="B Nazanin" w:hint="cs"/>
          <w:sz w:val="24"/>
          <w:szCs w:val="24"/>
          <w:rtl/>
        </w:rPr>
        <w:t>در برابر پاتوژن‌های دهانی هستند</w:t>
      </w:r>
      <w:r w:rsidRPr="009F170C">
        <w:rPr>
          <w:rFonts w:cs="B Nazanin" w:hint="cs"/>
          <w:sz w:val="24"/>
          <w:szCs w:val="24"/>
          <w:rtl/>
        </w:rPr>
        <w:t>که آنها را به کاندی</w:t>
      </w:r>
      <w:r>
        <w:rPr>
          <w:rFonts w:cs="B Nazanin" w:hint="cs"/>
          <w:sz w:val="24"/>
          <w:szCs w:val="24"/>
          <w:rtl/>
        </w:rPr>
        <w:t>داهای بالقوه‌ای برای استفاده در</w:t>
      </w:r>
      <w:r w:rsidRPr="009F170C">
        <w:rPr>
          <w:rFonts w:cs="B Nazanin" w:hint="cs"/>
          <w:sz w:val="24"/>
          <w:szCs w:val="24"/>
          <w:rtl/>
        </w:rPr>
        <w:t xml:space="preserve">دندانپزشکی جهت بهبود سلامت دهان و دندان تبدیل می‌کند. بنابراین با توجه به نتایج اثر بخش طرح استفاده از بره موم درخمیر دندان و دهانشویه ها و سایر محصولات بهداشتی دهان می توان از آن استفاده کردو با توجه به شواهد میدانی متوجه تاثیرمثبت و روند کاهشی ابتلا به عفونت های دهان و دندان شدیم. </w:t>
      </w:r>
    </w:p>
    <w:p w:rsidR="00022444" w:rsidRPr="00022444" w:rsidRDefault="00022444" w:rsidP="00022444">
      <w:pPr>
        <w:bidi/>
        <w:jc w:val="both"/>
        <w:rPr>
          <w:rFonts w:cs="B Nazanin"/>
          <w:b/>
          <w:bCs/>
          <w:sz w:val="24"/>
          <w:szCs w:val="24"/>
          <w:rtl/>
        </w:rPr>
      </w:pPr>
    </w:p>
    <w:p w:rsidR="009F170C" w:rsidRPr="009F170C" w:rsidRDefault="009F170C" w:rsidP="009F170C">
      <w:pPr>
        <w:bidi/>
        <w:spacing w:line="240" w:lineRule="auto"/>
        <w:jc w:val="both"/>
        <w:rPr>
          <w:rFonts w:ascii="Tahoma" w:hAnsi="Tahoma" w:cs="B Nazanin"/>
          <w:color w:val="000000" w:themeColor="text1"/>
          <w:sz w:val="24"/>
          <w:szCs w:val="24"/>
          <w:shd w:val="clear" w:color="auto" w:fill="F5F5F5"/>
          <w:rtl/>
        </w:rPr>
      </w:pPr>
      <w:r w:rsidRPr="00022444">
        <w:rPr>
          <w:rFonts w:ascii="Tahoma" w:hAnsi="Tahoma" w:cs="B Nazanin" w:hint="cs"/>
          <w:b/>
          <w:bCs/>
          <w:color w:val="000000" w:themeColor="text1"/>
          <w:sz w:val="24"/>
          <w:szCs w:val="24"/>
          <w:shd w:val="clear" w:color="auto" w:fill="F5F5F5"/>
          <w:rtl/>
        </w:rPr>
        <w:t>منابع</w:t>
      </w:r>
      <w:r w:rsidRPr="009F170C">
        <w:rPr>
          <w:rFonts w:ascii="Tahoma" w:hAnsi="Tahoma" w:cs="B Nazanin" w:hint="cs"/>
          <w:color w:val="000000" w:themeColor="text1"/>
          <w:sz w:val="24"/>
          <w:szCs w:val="24"/>
          <w:shd w:val="clear" w:color="auto" w:fill="F5F5F5"/>
          <w:rtl/>
        </w:rPr>
        <w:t xml:space="preserve"> :</w:t>
      </w:r>
    </w:p>
    <w:p w:rsidR="009F170C" w:rsidRPr="009F170C" w:rsidRDefault="009F170C" w:rsidP="009F170C">
      <w:pPr>
        <w:numPr>
          <w:ilvl w:val="0"/>
          <w:numId w:val="1"/>
        </w:numPr>
        <w:shd w:val="clear" w:color="auto" w:fill="FFFFFF"/>
        <w:bidi/>
        <w:spacing w:before="100" w:beforeAutospacing="1" w:after="100" w:afterAutospacing="1" w:line="240" w:lineRule="auto"/>
        <w:jc w:val="both"/>
        <w:rPr>
          <w:rFonts w:ascii="Tahoma" w:eastAsia="Times New Roman" w:hAnsi="Tahoma" w:cs="B Nazanin"/>
          <w:color w:val="000000" w:themeColor="text1"/>
          <w:sz w:val="24"/>
          <w:szCs w:val="24"/>
        </w:rPr>
      </w:pPr>
      <w:proofErr w:type="spellStart"/>
      <w:r w:rsidRPr="009F170C">
        <w:rPr>
          <w:rFonts w:ascii="Times New Roman" w:eastAsia="Times New Roman" w:hAnsi="Times New Roman" w:cs="B Nazanin"/>
          <w:color w:val="000000" w:themeColor="text1"/>
          <w:sz w:val="24"/>
          <w:szCs w:val="24"/>
        </w:rPr>
        <w:t>Rawla</w:t>
      </w:r>
      <w:proofErr w:type="spellEnd"/>
      <w:r w:rsidRPr="009F170C">
        <w:rPr>
          <w:rFonts w:ascii="Times New Roman" w:eastAsia="Times New Roman" w:hAnsi="Times New Roman" w:cs="B Nazanin"/>
          <w:color w:val="000000" w:themeColor="text1"/>
          <w:sz w:val="24"/>
          <w:szCs w:val="24"/>
        </w:rPr>
        <w:t xml:space="preserve"> P, </w:t>
      </w:r>
      <w:proofErr w:type="spellStart"/>
      <w:r w:rsidRPr="009F170C">
        <w:rPr>
          <w:rFonts w:ascii="Times New Roman" w:eastAsia="Times New Roman" w:hAnsi="Times New Roman" w:cs="B Nazanin"/>
          <w:color w:val="000000" w:themeColor="text1"/>
          <w:sz w:val="24"/>
          <w:szCs w:val="24"/>
        </w:rPr>
        <w:t>Barsouk</w:t>
      </w:r>
      <w:proofErr w:type="spellEnd"/>
      <w:r w:rsidRPr="009F170C">
        <w:rPr>
          <w:rFonts w:ascii="Times New Roman" w:eastAsia="Times New Roman" w:hAnsi="Times New Roman" w:cs="B Nazanin"/>
          <w:color w:val="000000" w:themeColor="text1"/>
          <w:sz w:val="24"/>
          <w:szCs w:val="24"/>
        </w:rPr>
        <w:t xml:space="preserve"> A. Epidemiology of gastric cancer: global trends, risk factors and prevention. </w:t>
      </w:r>
      <w:proofErr w:type="spellStart"/>
      <w:r w:rsidRPr="009F170C">
        <w:rPr>
          <w:rFonts w:ascii="Times New Roman" w:eastAsia="Times New Roman" w:hAnsi="Times New Roman" w:cs="B Nazanin"/>
          <w:color w:val="000000" w:themeColor="text1"/>
          <w:sz w:val="24"/>
          <w:szCs w:val="24"/>
        </w:rPr>
        <w:t>Przeglad</w:t>
      </w:r>
      <w:proofErr w:type="spellEnd"/>
      <w:r w:rsidRPr="009F170C">
        <w:rPr>
          <w:rFonts w:ascii="Times New Roman" w:eastAsia="Times New Roman" w:hAnsi="Times New Roman" w:cs="B Nazanin"/>
          <w:color w:val="000000" w:themeColor="text1"/>
          <w:sz w:val="24"/>
          <w:szCs w:val="24"/>
        </w:rPr>
        <w:t xml:space="preserve"> </w:t>
      </w:r>
      <w:proofErr w:type="spellStart"/>
      <w:r w:rsidRPr="009F170C">
        <w:rPr>
          <w:rFonts w:ascii="Times New Roman" w:eastAsia="Times New Roman" w:hAnsi="Times New Roman" w:cs="B Nazanin"/>
          <w:color w:val="000000" w:themeColor="text1"/>
          <w:sz w:val="24"/>
          <w:szCs w:val="24"/>
        </w:rPr>
        <w:t>gastroenterologiczny</w:t>
      </w:r>
      <w:proofErr w:type="spellEnd"/>
      <w:r w:rsidRPr="009F170C">
        <w:rPr>
          <w:rFonts w:ascii="Times New Roman" w:eastAsia="Times New Roman" w:hAnsi="Times New Roman" w:cs="B Nazanin"/>
          <w:color w:val="000000" w:themeColor="text1"/>
          <w:sz w:val="24"/>
          <w:szCs w:val="24"/>
        </w:rPr>
        <w:t>. 2019;14(1):26-38.</w:t>
      </w:r>
    </w:p>
    <w:p w:rsidR="009F170C" w:rsidRPr="009F170C" w:rsidRDefault="009F170C" w:rsidP="009F170C">
      <w:pPr>
        <w:numPr>
          <w:ilvl w:val="0"/>
          <w:numId w:val="1"/>
        </w:numPr>
        <w:shd w:val="clear" w:color="auto" w:fill="FFFFFF"/>
        <w:bidi/>
        <w:spacing w:before="100" w:beforeAutospacing="1" w:after="100" w:afterAutospacing="1" w:line="240" w:lineRule="auto"/>
        <w:jc w:val="both"/>
        <w:rPr>
          <w:rFonts w:ascii="Tahoma" w:eastAsia="Times New Roman" w:hAnsi="Tahoma" w:cs="B Nazanin"/>
          <w:color w:val="000000" w:themeColor="text1"/>
          <w:sz w:val="24"/>
          <w:szCs w:val="24"/>
        </w:rPr>
      </w:pPr>
      <w:r w:rsidRPr="009F170C">
        <w:rPr>
          <w:rFonts w:ascii="Times New Roman" w:eastAsia="Times New Roman" w:hAnsi="Times New Roman" w:cs="B Nazanin"/>
          <w:color w:val="000000" w:themeColor="text1"/>
          <w:sz w:val="24"/>
          <w:szCs w:val="24"/>
        </w:rPr>
        <w:t xml:space="preserve">De Monte C, </w:t>
      </w:r>
      <w:proofErr w:type="spellStart"/>
      <w:r w:rsidRPr="009F170C">
        <w:rPr>
          <w:rFonts w:ascii="Times New Roman" w:eastAsia="Times New Roman" w:hAnsi="Times New Roman" w:cs="B Nazanin"/>
          <w:color w:val="000000" w:themeColor="text1"/>
          <w:sz w:val="24"/>
          <w:szCs w:val="24"/>
        </w:rPr>
        <w:t>Bizzarri</w:t>
      </w:r>
      <w:proofErr w:type="spellEnd"/>
      <w:r w:rsidRPr="009F170C">
        <w:rPr>
          <w:rFonts w:ascii="Times New Roman" w:eastAsia="Times New Roman" w:hAnsi="Times New Roman" w:cs="B Nazanin"/>
          <w:color w:val="000000" w:themeColor="text1"/>
          <w:sz w:val="24"/>
          <w:szCs w:val="24"/>
        </w:rPr>
        <w:t xml:space="preserve"> B, </w:t>
      </w:r>
      <w:proofErr w:type="spellStart"/>
      <w:r w:rsidRPr="009F170C">
        <w:rPr>
          <w:rFonts w:ascii="Times New Roman" w:eastAsia="Times New Roman" w:hAnsi="Times New Roman" w:cs="B Nazanin"/>
          <w:color w:val="000000" w:themeColor="text1"/>
          <w:sz w:val="24"/>
          <w:szCs w:val="24"/>
        </w:rPr>
        <w:t>Gidaro</w:t>
      </w:r>
      <w:proofErr w:type="spellEnd"/>
      <w:r w:rsidRPr="009F170C">
        <w:rPr>
          <w:rFonts w:ascii="Times New Roman" w:eastAsia="Times New Roman" w:hAnsi="Times New Roman" w:cs="B Nazanin"/>
          <w:color w:val="000000" w:themeColor="text1"/>
          <w:sz w:val="24"/>
          <w:szCs w:val="24"/>
        </w:rPr>
        <w:t xml:space="preserve"> MC, et al. Bioactive compounds of Crocus </w:t>
      </w:r>
      <w:proofErr w:type="spellStart"/>
      <w:r w:rsidRPr="009F170C">
        <w:rPr>
          <w:rFonts w:ascii="Times New Roman" w:eastAsia="Times New Roman" w:hAnsi="Times New Roman" w:cs="B Nazanin"/>
          <w:color w:val="000000" w:themeColor="text1"/>
          <w:sz w:val="24"/>
          <w:szCs w:val="24"/>
        </w:rPr>
        <w:t>sativus</w:t>
      </w:r>
      <w:proofErr w:type="spellEnd"/>
      <w:r w:rsidRPr="009F170C">
        <w:rPr>
          <w:rFonts w:ascii="Times New Roman" w:eastAsia="Times New Roman" w:hAnsi="Times New Roman" w:cs="B Nazanin"/>
          <w:color w:val="000000" w:themeColor="text1"/>
          <w:sz w:val="24"/>
          <w:szCs w:val="24"/>
        </w:rPr>
        <w:t xml:space="preserve"> L. and their semi-synthetic derivatives as promising anti-Helicobacter pylori, anti-malarial and anti-</w:t>
      </w:r>
      <w:proofErr w:type="spellStart"/>
      <w:r w:rsidRPr="009F170C">
        <w:rPr>
          <w:rFonts w:ascii="Times New Roman" w:eastAsia="Times New Roman" w:hAnsi="Times New Roman" w:cs="B Nazanin"/>
          <w:color w:val="000000" w:themeColor="text1"/>
          <w:sz w:val="24"/>
          <w:szCs w:val="24"/>
        </w:rPr>
        <w:t>leishmanial</w:t>
      </w:r>
      <w:proofErr w:type="spellEnd"/>
      <w:r w:rsidRPr="009F170C">
        <w:rPr>
          <w:rFonts w:ascii="Times New Roman" w:eastAsia="Times New Roman" w:hAnsi="Times New Roman" w:cs="B Nazanin"/>
          <w:color w:val="000000" w:themeColor="text1"/>
          <w:sz w:val="24"/>
          <w:szCs w:val="24"/>
        </w:rPr>
        <w:t xml:space="preserve"> agents. J Enzyme </w:t>
      </w:r>
      <w:proofErr w:type="spellStart"/>
      <w:r w:rsidRPr="009F170C">
        <w:rPr>
          <w:rFonts w:ascii="Times New Roman" w:eastAsia="Times New Roman" w:hAnsi="Times New Roman" w:cs="B Nazanin"/>
          <w:color w:val="000000" w:themeColor="text1"/>
          <w:sz w:val="24"/>
          <w:szCs w:val="24"/>
        </w:rPr>
        <w:t>Inhib</w:t>
      </w:r>
      <w:proofErr w:type="spellEnd"/>
      <w:r w:rsidRPr="009F170C">
        <w:rPr>
          <w:rFonts w:ascii="Times New Roman" w:eastAsia="Times New Roman" w:hAnsi="Times New Roman" w:cs="B Nazanin"/>
          <w:color w:val="000000" w:themeColor="text1"/>
          <w:sz w:val="24"/>
          <w:szCs w:val="24"/>
        </w:rPr>
        <w:t xml:space="preserve"> Med </w:t>
      </w:r>
      <w:proofErr w:type="spellStart"/>
      <w:r w:rsidRPr="009F170C">
        <w:rPr>
          <w:rFonts w:ascii="Times New Roman" w:eastAsia="Times New Roman" w:hAnsi="Times New Roman" w:cs="B Nazanin"/>
          <w:color w:val="000000" w:themeColor="text1"/>
          <w:sz w:val="24"/>
          <w:szCs w:val="24"/>
        </w:rPr>
        <w:t>Chem</w:t>
      </w:r>
      <w:proofErr w:type="spellEnd"/>
      <w:r w:rsidRPr="009F170C">
        <w:rPr>
          <w:rFonts w:ascii="Times New Roman" w:eastAsia="Times New Roman" w:hAnsi="Times New Roman" w:cs="B Nazanin"/>
          <w:color w:val="000000" w:themeColor="text1"/>
          <w:sz w:val="24"/>
          <w:szCs w:val="24"/>
        </w:rPr>
        <w:t xml:space="preserve"> </w:t>
      </w:r>
      <w:proofErr w:type="gramStart"/>
      <w:r w:rsidRPr="009F170C">
        <w:rPr>
          <w:rFonts w:ascii="Times New Roman" w:eastAsia="Times New Roman" w:hAnsi="Times New Roman" w:cs="B Nazanin"/>
          <w:color w:val="000000" w:themeColor="text1"/>
          <w:sz w:val="24"/>
          <w:szCs w:val="24"/>
        </w:rPr>
        <w:t>2015;30:1027</w:t>
      </w:r>
      <w:proofErr w:type="gramEnd"/>
      <w:r w:rsidRPr="009F170C">
        <w:rPr>
          <w:rFonts w:ascii="Times New Roman" w:eastAsia="Times New Roman" w:hAnsi="Times New Roman" w:cs="B Nazanin"/>
          <w:color w:val="000000" w:themeColor="text1"/>
          <w:sz w:val="24"/>
          <w:szCs w:val="24"/>
        </w:rPr>
        <w:t>–33.</w:t>
      </w:r>
    </w:p>
    <w:p w:rsidR="009F170C" w:rsidRPr="009F170C" w:rsidRDefault="009F170C" w:rsidP="009F170C">
      <w:pPr>
        <w:numPr>
          <w:ilvl w:val="0"/>
          <w:numId w:val="1"/>
        </w:numPr>
        <w:shd w:val="clear" w:color="auto" w:fill="FFFFFF"/>
        <w:bidi/>
        <w:spacing w:before="100" w:beforeAutospacing="1" w:after="100" w:afterAutospacing="1" w:line="240" w:lineRule="auto"/>
        <w:jc w:val="both"/>
        <w:rPr>
          <w:rFonts w:ascii="Tahoma" w:eastAsia="Times New Roman" w:hAnsi="Tahoma" w:cs="B Nazanin"/>
          <w:color w:val="000000" w:themeColor="text1"/>
          <w:sz w:val="24"/>
          <w:szCs w:val="24"/>
        </w:rPr>
      </w:pPr>
      <w:r w:rsidRPr="009F170C">
        <w:rPr>
          <w:rFonts w:ascii="Times New Roman" w:eastAsia="Times New Roman" w:hAnsi="Times New Roman" w:cs="B Nazanin"/>
          <w:color w:val="000000" w:themeColor="text1"/>
          <w:sz w:val="24"/>
          <w:szCs w:val="24"/>
        </w:rPr>
        <w:t> </w:t>
      </w:r>
      <w:proofErr w:type="spellStart"/>
      <w:r w:rsidRPr="009F170C">
        <w:rPr>
          <w:rFonts w:ascii="Times New Roman" w:eastAsia="Times New Roman" w:hAnsi="Times New Roman" w:cs="B Nazanin"/>
          <w:color w:val="000000" w:themeColor="text1"/>
          <w:sz w:val="24"/>
          <w:szCs w:val="24"/>
        </w:rPr>
        <w:t>Nishimori</w:t>
      </w:r>
      <w:proofErr w:type="spellEnd"/>
      <w:r w:rsidRPr="009F170C">
        <w:rPr>
          <w:rFonts w:ascii="Times New Roman" w:eastAsia="Times New Roman" w:hAnsi="Times New Roman" w:cs="B Nazanin"/>
          <w:color w:val="000000" w:themeColor="text1"/>
          <w:sz w:val="24"/>
          <w:szCs w:val="24"/>
        </w:rPr>
        <w:t xml:space="preserve"> I, </w:t>
      </w:r>
      <w:proofErr w:type="spellStart"/>
      <w:r w:rsidRPr="009F170C">
        <w:rPr>
          <w:rFonts w:ascii="Times New Roman" w:eastAsia="Times New Roman" w:hAnsi="Times New Roman" w:cs="B Nazanin"/>
          <w:color w:val="000000" w:themeColor="text1"/>
          <w:sz w:val="24"/>
          <w:szCs w:val="24"/>
        </w:rPr>
        <w:t>Onishi</w:t>
      </w:r>
      <w:proofErr w:type="spellEnd"/>
      <w:r w:rsidRPr="009F170C">
        <w:rPr>
          <w:rFonts w:ascii="Times New Roman" w:eastAsia="Times New Roman" w:hAnsi="Times New Roman" w:cs="B Nazanin"/>
          <w:color w:val="000000" w:themeColor="text1"/>
          <w:sz w:val="24"/>
          <w:szCs w:val="24"/>
        </w:rPr>
        <w:t xml:space="preserve"> S, Takeuchi H, </w:t>
      </w:r>
      <w:proofErr w:type="spellStart"/>
      <w:r w:rsidRPr="009F170C">
        <w:rPr>
          <w:rFonts w:ascii="Times New Roman" w:eastAsia="Times New Roman" w:hAnsi="Times New Roman" w:cs="B Nazanin"/>
          <w:color w:val="000000" w:themeColor="text1"/>
          <w:sz w:val="24"/>
          <w:szCs w:val="24"/>
        </w:rPr>
        <w:t>Supuran</w:t>
      </w:r>
      <w:proofErr w:type="spellEnd"/>
      <w:r w:rsidRPr="009F170C">
        <w:rPr>
          <w:rFonts w:ascii="Times New Roman" w:eastAsia="Times New Roman" w:hAnsi="Times New Roman" w:cs="B Nazanin"/>
          <w:color w:val="000000" w:themeColor="text1"/>
          <w:sz w:val="24"/>
          <w:szCs w:val="24"/>
        </w:rPr>
        <w:t xml:space="preserve"> CT. The alpha and beta classes carbonic anhydrases from Helicobacter pylori as novel drug targets. </w:t>
      </w:r>
      <w:proofErr w:type="spellStart"/>
      <w:r w:rsidRPr="009F170C">
        <w:rPr>
          <w:rFonts w:ascii="Times New Roman" w:eastAsia="Times New Roman" w:hAnsi="Times New Roman" w:cs="B Nazanin"/>
          <w:color w:val="000000" w:themeColor="text1"/>
          <w:sz w:val="24"/>
          <w:szCs w:val="24"/>
        </w:rPr>
        <w:t>Curr</w:t>
      </w:r>
      <w:proofErr w:type="spellEnd"/>
      <w:r w:rsidRPr="009F170C">
        <w:rPr>
          <w:rFonts w:ascii="Times New Roman" w:eastAsia="Times New Roman" w:hAnsi="Times New Roman" w:cs="B Nazanin"/>
          <w:color w:val="000000" w:themeColor="text1"/>
          <w:sz w:val="24"/>
          <w:szCs w:val="24"/>
        </w:rPr>
        <w:t xml:space="preserve"> Pharm Des </w:t>
      </w:r>
      <w:proofErr w:type="gramStart"/>
      <w:r w:rsidRPr="009F170C">
        <w:rPr>
          <w:rFonts w:ascii="Times New Roman" w:eastAsia="Times New Roman" w:hAnsi="Times New Roman" w:cs="B Nazanin"/>
          <w:color w:val="000000" w:themeColor="text1"/>
          <w:sz w:val="24"/>
          <w:szCs w:val="24"/>
        </w:rPr>
        <w:t>2008;14:622</w:t>
      </w:r>
      <w:proofErr w:type="gramEnd"/>
      <w:r w:rsidRPr="009F170C">
        <w:rPr>
          <w:rFonts w:ascii="Times New Roman" w:eastAsia="Times New Roman" w:hAnsi="Times New Roman" w:cs="B Nazanin"/>
          <w:color w:val="000000" w:themeColor="text1"/>
          <w:sz w:val="24"/>
          <w:szCs w:val="24"/>
        </w:rPr>
        <w:t>–30.</w:t>
      </w:r>
    </w:p>
    <w:p w:rsidR="009F170C" w:rsidRPr="009F170C" w:rsidRDefault="009F170C" w:rsidP="009F170C">
      <w:pPr>
        <w:numPr>
          <w:ilvl w:val="0"/>
          <w:numId w:val="1"/>
        </w:numPr>
        <w:shd w:val="clear" w:color="auto" w:fill="FFFFFF"/>
        <w:bidi/>
        <w:spacing w:before="100" w:beforeAutospacing="1" w:after="100" w:afterAutospacing="1" w:line="240" w:lineRule="auto"/>
        <w:jc w:val="both"/>
        <w:rPr>
          <w:rFonts w:ascii="Tahoma" w:eastAsia="Times New Roman" w:hAnsi="Tahoma" w:cs="B Nazanin"/>
          <w:color w:val="000000" w:themeColor="text1"/>
          <w:sz w:val="24"/>
          <w:szCs w:val="24"/>
        </w:rPr>
      </w:pPr>
      <w:proofErr w:type="spellStart"/>
      <w:r w:rsidRPr="009F170C">
        <w:rPr>
          <w:rFonts w:ascii="Times New Roman" w:eastAsia="Times New Roman" w:hAnsi="Times New Roman" w:cs="B Nazanin"/>
          <w:color w:val="000000" w:themeColor="text1"/>
          <w:sz w:val="24"/>
          <w:szCs w:val="24"/>
        </w:rPr>
        <w:t>Modakh</w:t>
      </w:r>
      <w:proofErr w:type="spellEnd"/>
      <w:r w:rsidRPr="009F170C">
        <w:rPr>
          <w:rFonts w:ascii="Times New Roman" w:eastAsia="Times New Roman" w:hAnsi="Times New Roman" w:cs="B Nazanin"/>
          <w:color w:val="000000" w:themeColor="text1"/>
          <w:sz w:val="24"/>
          <w:szCs w:val="24"/>
        </w:rPr>
        <w:t xml:space="preserve"> JK, Liu YC, </w:t>
      </w:r>
      <w:proofErr w:type="spellStart"/>
      <w:r w:rsidRPr="009F170C">
        <w:rPr>
          <w:rFonts w:ascii="Times New Roman" w:eastAsia="Times New Roman" w:hAnsi="Times New Roman" w:cs="B Nazanin"/>
          <w:color w:val="000000" w:themeColor="text1"/>
          <w:sz w:val="24"/>
          <w:szCs w:val="24"/>
        </w:rPr>
        <w:t>Machuca</w:t>
      </w:r>
      <w:proofErr w:type="spellEnd"/>
      <w:r w:rsidRPr="009F170C">
        <w:rPr>
          <w:rFonts w:ascii="Times New Roman" w:eastAsia="Times New Roman" w:hAnsi="Times New Roman" w:cs="B Nazanin"/>
          <w:color w:val="000000" w:themeColor="text1"/>
          <w:sz w:val="24"/>
          <w:szCs w:val="24"/>
        </w:rPr>
        <w:t xml:space="preserve"> MA, et al. Structural basis for the inhibition of Helicobacter pylori a-carbonic anhydrase by sulfonamides. </w:t>
      </w:r>
      <w:proofErr w:type="spellStart"/>
      <w:r w:rsidRPr="009F170C">
        <w:rPr>
          <w:rFonts w:ascii="Times New Roman" w:eastAsia="Times New Roman" w:hAnsi="Times New Roman" w:cs="B Nazanin"/>
          <w:color w:val="000000" w:themeColor="text1"/>
          <w:sz w:val="24"/>
          <w:szCs w:val="24"/>
        </w:rPr>
        <w:t>PLoS</w:t>
      </w:r>
      <w:proofErr w:type="spellEnd"/>
      <w:r w:rsidRPr="009F170C">
        <w:rPr>
          <w:rFonts w:ascii="Times New Roman" w:eastAsia="Times New Roman" w:hAnsi="Times New Roman" w:cs="B Nazanin"/>
          <w:color w:val="000000" w:themeColor="text1"/>
          <w:sz w:val="24"/>
          <w:szCs w:val="24"/>
        </w:rPr>
        <w:t xml:space="preserve"> One 2015;</w:t>
      </w:r>
      <w:proofErr w:type="gramStart"/>
      <w:r w:rsidRPr="009F170C">
        <w:rPr>
          <w:rFonts w:ascii="Times New Roman" w:eastAsia="Times New Roman" w:hAnsi="Times New Roman" w:cs="B Nazanin"/>
          <w:color w:val="000000" w:themeColor="text1"/>
          <w:sz w:val="24"/>
          <w:szCs w:val="24"/>
        </w:rPr>
        <w:t>10:e</w:t>
      </w:r>
      <w:proofErr w:type="gramEnd"/>
      <w:r w:rsidRPr="009F170C">
        <w:rPr>
          <w:rFonts w:ascii="Times New Roman" w:eastAsia="Times New Roman" w:hAnsi="Times New Roman" w:cs="B Nazanin"/>
          <w:color w:val="000000" w:themeColor="text1"/>
          <w:sz w:val="24"/>
          <w:szCs w:val="24"/>
        </w:rPr>
        <w:t xml:space="preserve">0127149. </w:t>
      </w:r>
      <w:bookmarkStart w:id="0" w:name="_GoBack"/>
      <w:bookmarkEnd w:id="0"/>
      <w:proofErr w:type="gramStart"/>
      <w:r w:rsidRPr="009F170C">
        <w:rPr>
          <w:rFonts w:ascii="Times New Roman" w:eastAsia="Times New Roman" w:hAnsi="Times New Roman" w:cs="B Nazanin"/>
          <w:color w:val="000000" w:themeColor="text1"/>
          <w:sz w:val="24"/>
          <w:szCs w:val="24"/>
        </w:rPr>
        <w:t>doi:10.1371/</w:t>
      </w:r>
      <w:proofErr w:type="spellStart"/>
      <w:r w:rsidRPr="009F170C">
        <w:rPr>
          <w:rFonts w:ascii="Times New Roman" w:eastAsia="Times New Roman" w:hAnsi="Times New Roman" w:cs="B Nazanin"/>
          <w:color w:val="000000" w:themeColor="text1"/>
          <w:sz w:val="24"/>
          <w:szCs w:val="24"/>
        </w:rPr>
        <w:t>journal.pone</w:t>
      </w:r>
      <w:proofErr w:type="spellEnd"/>
      <w:proofErr w:type="gramEnd"/>
      <w:r w:rsidRPr="009F170C">
        <w:rPr>
          <w:rFonts w:ascii="Times New Roman" w:eastAsia="Times New Roman" w:hAnsi="Times New Roman" w:cs="B Nazanin"/>
          <w:color w:val="000000" w:themeColor="text1"/>
          <w:sz w:val="24"/>
          <w:szCs w:val="24"/>
        </w:rPr>
        <w:t>. 0127149.</w:t>
      </w:r>
    </w:p>
    <w:p w:rsidR="009F170C" w:rsidRPr="009F170C" w:rsidRDefault="009F170C" w:rsidP="009F170C">
      <w:pPr>
        <w:numPr>
          <w:ilvl w:val="0"/>
          <w:numId w:val="1"/>
        </w:numPr>
        <w:shd w:val="clear" w:color="auto" w:fill="FFFFFF"/>
        <w:bidi/>
        <w:spacing w:before="100" w:beforeAutospacing="1" w:after="100" w:afterAutospacing="1" w:line="240" w:lineRule="auto"/>
        <w:jc w:val="both"/>
        <w:rPr>
          <w:rFonts w:ascii="Tahoma" w:eastAsia="Times New Roman" w:hAnsi="Tahoma" w:cs="B Nazanin"/>
          <w:color w:val="000000" w:themeColor="text1"/>
          <w:sz w:val="24"/>
          <w:szCs w:val="24"/>
        </w:rPr>
      </w:pPr>
      <w:r w:rsidRPr="009F170C">
        <w:rPr>
          <w:rFonts w:ascii="Times New Roman" w:eastAsia="Times New Roman" w:hAnsi="Times New Roman" w:cs="B Nazanin"/>
          <w:color w:val="000000" w:themeColor="text1"/>
          <w:sz w:val="24"/>
          <w:szCs w:val="24"/>
        </w:rPr>
        <w:t> </w:t>
      </w:r>
      <w:proofErr w:type="spellStart"/>
      <w:r w:rsidRPr="009F170C">
        <w:rPr>
          <w:rFonts w:ascii="Times New Roman" w:eastAsia="Times New Roman" w:hAnsi="Times New Roman" w:cs="B Nazanin"/>
          <w:color w:val="000000" w:themeColor="text1"/>
          <w:sz w:val="24"/>
          <w:szCs w:val="24"/>
        </w:rPr>
        <w:t>Maresca</w:t>
      </w:r>
      <w:proofErr w:type="spellEnd"/>
      <w:r w:rsidRPr="009F170C">
        <w:rPr>
          <w:rFonts w:ascii="Times New Roman" w:eastAsia="Times New Roman" w:hAnsi="Times New Roman" w:cs="B Nazanin"/>
          <w:color w:val="000000" w:themeColor="text1"/>
          <w:sz w:val="24"/>
          <w:szCs w:val="24"/>
        </w:rPr>
        <w:t xml:space="preserve"> A, </w:t>
      </w:r>
      <w:proofErr w:type="spellStart"/>
      <w:r w:rsidRPr="009F170C">
        <w:rPr>
          <w:rFonts w:ascii="Times New Roman" w:eastAsia="Times New Roman" w:hAnsi="Times New Roman" w:cs="B Nazanin"/>
          <w:color w:val="000000" w:themeColor="text1"/>
          <w:sz w:val="24"/>
          <w:szCs w:val="24"/>
        </w:rPr>
        <w:t>Vullo</w:t>
      </w:r>
      <w:proofErr w:type="spellEnd"/>
      <w:r w:rsidRPr="009F170C">
        <w:rPr>
          <w:rFonts w:ascii="Times New Roman" w:eastAsia="Times New Roman" w:hAnsi="Times New Roman" w:cs="B Nazanin"/>
          <w:color w:val="000000" w:themeColor="text1"/>
          <w:sz w:val="24"/>
          <w:szCs w:val="24"/>
        </w:rPr>
        <w:t xml:space="preserve"> D, Scozzafava A, </w:t>
      </w:r>
      <w:proofErr w:type="spellStart"/>
      <w:r w:rsidRPr="009F170C">
        <w:rPr>
          <w:rFonts w:ascii="Times New Roman" w:eastAsia="Times New Roman" w:hAnsi="Times New Roman" w:cs="B Nazanin"/>
          <w:color w:val="000000" w:themeColor="text1"/>
          <w:sz w:val="24"/>
          <w:szCs w:val="24"/>
        </w:rPr>
        <w:t>Supuran</w:t>
      </w:r>
      <w:proofErr w:type="spellEnd"/>
      <w:r w:rsidRPr="009F170C">
        <w:rPr>
          <w:rFonts w:ascii="Times New Roman" w:eastAsia="Times New Roman" w:hAnsi="Times New Roman" w:cs="B Nazanin"/>
          <w:color w:val="000000" w:themeColor="text1"/>
          <w:sz w:val="24"/>
          <w:szCs w:val="24"/>
        </w:rPr>
        <w:t xml:space="preserve"> CT. Inhibition of the alpha- and beta-carbonic anhydrases from the gastric pathogen Helicobacter pylori with anions. J Enzyme </w:t>
      </w:r>
      <w:proofErr w:type="spellStart"/>
      <w:r w:rsidRPr="009F170C">
        <w:rPr>
          <w:rFonts w:ascii="Times New Roman" w:eastAsia="Times New Roman" w:hAnsi="Times New Roman" w:cs="B Nazanin"/>
          <w:color w:val="000000" w:themeColor="text1"/>
          <w:sz w:val="24"/>
          <w:szCs w:val="24"/>
        </w:rPr>
        <w:t>Inhib</w:t>
      </w:r>
      <w:proofErr w:type="spellEnd"/>
      <w:r w:rsidRPr="009F170C">
        <w:rPr>
          <w:rFonts w:ascii="Times New Roman" w:eastAsia="Times New Roman" w:hAnsi="Times New Roman" w:cs="B Nazanin"/>
          <w:color w:val="000000" w:themeColor="text1"/>
          <w:sz w:val="24"/>
          <w:szCs w:val="24"/>
        </w:rPr>
        <w:t xml:space="preserve"> Med </w:t>
      </w:r>
      <w:proofErr w:type="spellStart"/>
      <w:r w:rsidRPr="009F170C">
        <w:rPr>
          <w:rFonts w:ascii="Times New Roman" w:eastAsia="Times New Roman" w:hAnsi="Times New Roman" w:cs="B Nazanin"/>
          <w:color w:val="000000" w:themeColor="text1"/>
          <w:sz w:val="24"/>
          <w:szCs w:val="24"/>
        </w:rPr>
        <w:t>Chem</w:t>
      </w:r>
      <w:proofErr w:type="spellEnd"/>
      <w:r w:rsidRPr="009F170C">
        <w:rPr>
          <w:rFonts w:ascii="Times New Roman" w:eastAsia="Times New Roman" w:hAnsi="Times New Roman" w:cs="B Nazanin"/>
          <w:color w:val="000000" w:themeColor="text1"/>
          <w:sz w:val="24"/>
          <w:szCs w:val="24"/>
        </w:rPr>
        <w:t xml:space="preserve"> 2013;2: 388–91.</w:t>
      </w:r>
    </w:p>
    <w:p w:rsidR="009F170C" w:rsidRPr="002F2078" w:rsidRDefault="009F170C" w:rsidP="009F170C">
      <w:pPr>
        <w:bidi/>
        <w:jc w:val="both"/>
        <w:rPr>
          <w:rFonts w:cs="B Nazanin"/>
          <w:sz w:val="24"/>
          <w:szCs w:val="24"/>
          <w:rtl/>
          <w:lang w:val="en-GB" w:bidi="fa-IR"/>
        </w:rPr>
      </w:pPr>
    </w:p>
    <w:sectPr w:rsidR="009F170C" w:rsidRPr="002F2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subsetted="1" w:fontKey="{226ADA38-AC53-48B0-A4B4-1B2F469097DA}"/>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embedRegular r:id="rId2" w:fontKey="{227F5BDE-77AD-48A8-9076-EB1E7A96FBBE}"/>
  </w:font>
  <w:font w:name="Consolas">
    <w:panose1 w:val="020B0609020204030204"/>
    <w:charset w:val="00"/>
    <w:family w:val="modern"/>
    <w:pitch w:val="fixed"/>
    <w:sig w:usb0="E00006FF" w:usb1="0000FCFF" w:usb2="00000001" w:usb3="00000000" w:csb0="0000019F" w:csb1="00000000"/>
  </w:font>
  <w:font w:name="B Nazanin">
    <w:panose1 w:val="00000400000000000000"/>
    <w:charset w:val="B2"/>
    <w:family w:val="auto"/>
    <w:pitch w:val="variable"/>
    <w:sig w:usb0="00002001" w:usb1="80000000" w:usb2="00000008" w:usb3="00000000" w:csb0="00000040" w:csb1="00000000"/>
    <w:embedRegular r:id="rId3" w:fontKey="{9019E41E-1FF2-4C49-BDBC-9C27C59180DF}"/>
    <w:embedBold r:id="rId4" w:fontKey="{68D7083F-C623-498A-AD19-7BE4ACF58468}"/>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9E1465"/>
    <w:multiLevelType w:val="multilevel"/>
    <w:tmpl w:val="4080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embedSystemFonts/>
  <w:saveSubset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557"/>
    <w:rsid w:val="00022444"/>
    <w:rsid w:val="002F2078"/>
    <w:rsid w:val="002F40F0"/>
    <w:rsid w:val="0033104F"/>
    <w:rsid w:val="00375EB4"/>
    <w:rsid w:val="00530CA6"/>
    <w:rsid w:val="00593B0F"/>
    <w:rsid w:val="005C5759"/>
    <w:rsid w:val="006356F0"/>
    <w:rsid w:val="009D5F93"/>
    <w:rsid w:val="009F170C"/>
    <w:rsid w:val="00A26C56"/>
    <w:rsid w:val="00B24135"/>
    <w:rsid w:val="00C20ED8"/>
    <w:rsid w:val="00CE32EE"/>
    <w:rsid w:val="00D61134"/>
    <w:rsid w:val="00D835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901C"/>
  <w15:chartTrackingRefBased/>
  <w15:docId w15:val="{5886F591-7754-4312-8045-8905003D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4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E32E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32E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34879">
      <w:bodyDiv w:val="1"/>
      <w:marLeft w:val="0"/>
      <w:marRight w:val="0"/>
      <w:marTop w:val="0"/>
      <w:marBottom w:val="0"/>
      <w:divBdr>
        <w:top w:val="none" w:sz="0" w:space="0" w:color="auto"/>
        <w:left w:val="none" w:sz="0" w:space="0" w:color="auto"/>
        <w:bottom w:val="none" w:sz="0" w:space="0" w:color="auto"/>
        <w:right w:val="none" w:sz="0" w:space="0" w:color="auto"/>
      </w:divBdr>
    </w:div>
    <w:div w:id="517885701">
      <w:bodyDiv w:val="1"/>
      <w:marLeft w:val="0"/>
      <w:marRight w:val="0"/>
      <w:marTop w:val="0"/>
      <w:marBottom w:val="0"/>
      <w:divBdr>
        <w:top w:val="none" w:sz="0" w:space="0" w:color="auto"/>
        <w:left w:val="none" w:sz="0" w:space="0" w:color="auto"/>
        <w:bottom w:val="none" w:sz="0" w:space="0" w:color="auto"/>
        <w:right w:val="none" w:sz="0" w:space="0" w:color="auto"/>
      </w:divBdr>
    </w:div>
    <w:div w:id="1216161725">
      <w:bodyDiv w:val="1"/>
      <w:marLeft w:val="0"/>
      <w:marRight w:val="0"/>
      <w:marTop w:val="0"/>
      <w:marBottom w:val="0"/>
      <w:divBdr>
        <w:top w:val="none" w:sz="0" w:space="0" w:color="auto"/>
        <w:left w:val="none" w:sz="0" w:space="0" w:color="auto"/>
        <w:bottom w:val="none" w:sz="0" w:space="0" w:color="auto"/>
        <w:right w:val="none" w:sz="0" w:space="0" w:color="auto"/>
      </w:divBdr>
    </w:div>
    <w:div w:id="1334991364">
      <w:bodyDiv w:val="1"/>
      <w:marLeft w:val="0"/>
      <w:marRight w:val="0"/>
      <w:marTop w:val="0"/>
      <w:marBottom w:val="0"/>
      <w:divBdr>
        <w:top w:val="none" w:sz="0" w:space="0" w:color="auto"/>
        <w:left w:val="none" w:sz="0" w:space="0" w:color="auto"/>
        <w:bottom w:val="none" w:sz="0" w:space="0" w:color="auto"/>
        <w:right w:val="none" w:sz="0" w:space="0" w:color="auto"/>
      </w:divBdr>
    </w:div>
    <w:div w:id="1485271698">
      <w:bodyDiv w:val="1"/>
      <w:marLeft w:val="0"/>
      <w:marRight w:val="0"/>
      <w:marTop w:val="0"/>
      <w:marBottom w:val="0"/>
      <w:divBdr>
        <w:top w:val="none" w:sz="0" w:space="0" w:color="auto"/>
        <w:left w:val="none" w:sz="0" w:space="0" w:color="auto"/>
        <w:bottom w:val="none" w:sz="0" w:space="0" w:color="auto"/>
        <w:right w:val="none" w:sz="0" w:space="0" w:color="auto"/>
      </w:divBdr>
    </w:div>
    <w:div w:id="1780876591">
      <w:bodyDiv w:val="1"/>
      <w:marLeft w:val="0"/>
      <w:marRight w:val="0"/>
      <w:marTop w:val="0"/>
      <w:marBottom w:val="0"/>
      <w:divBdr>
        <w:top w:val="none" w:sz="0" w:space="0" w:color="auto"/>
        <w:left w:val="none" w:sz="0" w:space="0" w:color="auto"/>
        <w:bottom w:val="none" w:sz="0" w:space="0" w:color="auto"/>
        <w:right w:val="none" w:sz="0" w:space="0" w:color="auto"/>
      </w:divBdr>
    </w:div>
    <w:div w:id="1873615954">
      <w:bodyDiv w:val="1"/>
      <w:marLeft w:val="0"/>
      <w:marRight w:val="0"/>
      <w:marTop w:val="0"/>
      <w:marBottom w:val="0"/>
      <w:divBdr>
        <w:top w:val="none" w:sz="0" w:space="0" w:color="auto"/>
        <w:left w:val="none" w:sz="0" w:space="0" w:color="auto"/>
        <w:bottom w:val="none" w:sz="0" w:space="0" w:color="auto"/>
        <w:right w:val="none" w:sz="0" w:space="0" w:color="auto"/>
      </w:divBdr>
    </w:div>
    <w:div w:id="200430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phytochemistry</dc:creator>
  <cp:keywords/>
  <dc:description/>
  <cp:lastModifiedBy>Administrator</cp:lastModifiedBy>
  <cp:revision>2</cp:revision>
  <dcterms:created xsi:type="dcterms:W3CDTF">2026-05-19T05:36:00Z</dcterms:created>
  <dcterms:modified xsi:type="dcterms:W3CDTF">2026-05-19T05:36:00Z</dcterms:modified>
</cp:coreProperties>
</file>